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CBEF" w14:textId="7ECA15A1" w:rsidR="00F9078E" w:rsidRPr="00987AD1" w:rsidRDefault="00DF359B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987AD1" w:rsidRDefault="00FB7009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09E4EE26" w14:textId="7371DE85" w:rsidR="00E54F44" w:rsidRPr="00987AD1" w:rsidRDefault="00E54F44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987AD1" w:rsidRDefault="00E54F44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41A7AE84" w14:textId="1BE1FEA0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>Działanie FENX.01.0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4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  <w:r w:rsidR="00DD34E4" w:rsidRPr="00987AD1">
        <w:rPr>
          <w:rFonts w:ascii="Open Sans Light" w:hAnsi="Open Sans Light" w:cs="Open Sans Light"/>
        </w:rPr>
        <w:t xml:space="preserve">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Gospodarka odpadami oraz gospodarka o obiegu zamkniętym</w:t>
      </w:r>
    </w:p>
    <w:p w14:paraId="58DEDFBC" w14:textId="60DEB1D3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Systemy selektywnego zbierania odpadów komunalnych uwzględniające rozwiązania dotyczące zapobiegania powstawaniu odpadów, w tym ponowne użycie</w:t>
      </w:r>
    </w:p>
    <w:p w14:paraId="779BF036" w14:textId="345B481F" w:rsidR="00F47ADD" w:rsidRPr="00987AD1" w:rsidRDefault="00F47ADD" w:rsidP="00987AD1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987AD1" w:rsidRDefault="00F47ADD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45EBD454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 wraz z arkuszem kalkulacyjnym zawierającym model finansowo – ekonomiczny - wymagany</w:t>
      </w:r>
    </w:p>
    <w:p w14:paraId="38C8C9F8" w14:textId="77777777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Mapa przedstawiająca lokalizację zadania (obszar projektu) i najważniejsze jego elementy, w tym usytuowanie obiektów infrastruktury terenowej/zagospodarowanie terenu w skali umożliwiająca </w:t>
      </w:r>
      <w:proofErr w:type="gramStart"/>
      <w:r w:rsidRPr="00987AD1">
        <w:rPr>
          <w:rFonts w:ascii="Open Sans Light" w:hAnsi="Open Sans Light" w:cs="Open Sans Light"/>
          <w:sz w:val="24"/>
          <w:szCs w:val="24"/>
        </w:rPr>
        <w:t>czytelność  wraz</w:t>
      </w:r>
      <w:proofErr w:type="gramEnd"/>
      <w:r w:rsidRPr="00987AD1">
        <w:rPr>
          <w:rFonts w:ascii="Open Sans Light" w:hAnsi="Open Sans Light" w:cs="Open Sans Light"/>
          <w:sz w:val="24"/>
          <w:szCs w:val="24"/>
        </w:rPr>
        <w:t xml:space="preserve"> z opisem/legendą - wymagany.</w:t>
      </w:r>
    </w:p>
    <w:p w14:paraId="3E85DB96" w14:textId="76FE6FAA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54B5B884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Zgodność z prawem ochrony środowiska - dokumentacja związana z przeprowadzonym postępowaniem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ws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. oceny oddziaływania na środowisko, zgodna z dyrektywą Parlamentu Europejskiego i </w:t>
      </w:r>
      <w:proofErr w:type="gramStart"/>
      <w:r w:rsidRPr="00987AD1">
        <w:rPr>
          <w:rFonts w:ascii="Open Sans Light" w:hAnsi="Open Sans Light" w:cs="Open Sans Light"/>
          <w:sz w:val="24"/>
          <w:szCs w:val="24"/>
        </w:rPr>
        <w:t>Rady  z</w:t>
      </w:r>
      <w:proofErr w:type="gramEnd"/>
      <w:r w:rsidRPr="00987AD1">
        <w:rPr>
          <w:rFonts w:ascii="Open Sans Light" w:hAnsi="Open Sans Light" w:cs="Open Sans Light"/>
          <w:sz w:val="24"/>
          <w:szCs w:val="24"/>
        </w:rPr>
        <w:t xml:space="preserve"> dnia 27 czerwca 2001 r. nr 2001/42/WE oraz dyrektywa Parlamentu Europejskiego i Rady z dnia 13 grudnia 2011 r. nr 2011/92/UE (ze zmianami) - wymagany;</w:t>
      </w:r>
    </w:p>
    <w:p w14:paraId="6A80AD69" w14:textId="693199FB" w:rsidR="00AF6091" w:rsidRPr="00987AD1" w:rsidRDefault="00AF6091" w:rsidP="00987AD1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organu odpowiedzialnego za monitorowanie obszarów Natura 2000    – wymagany.</w:t>
      </w:r>
    </w:p>
    <w:p w14:paraId="5A7483AE" w14:textId="08FD6F6D" w:rsidR="00AF6091" w:rsidRPr="00987AD1" w:rsidRDefault="00AF6091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właściwego organu odpowiedzialnego za gospodarkę wodną – opcjonalny.</w:t>
      </w:r>
    </w:p>
    <w:p w14:paraId="7DA86A28" w14:textId="466878DF" w:rsidR="000200EE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15254537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dokumentów gromadzonych w celu potwierdzenia spełnienia zasady DNSH w całym cyklu życia projektu - wymagany</w:t>
      </w:r>
    </w:p>
    <w:p w14:paraId="6C1DA0F2" w14:textId="38588A59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>Decyzja o środowiskowych uwarunkowaniach dla projektu lub postanowienie o braku konieczności wydania ww. decyzji -wymagany</w:t>
      </w:r>
    </w:p>
    <w:p w14:paraId="0A59D150" w14:textId="690D27A6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</w:p>
    <w:p w14:paraId="687553E3" w14:textId="6B029861" w:rsidR="004A2C35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120CF26E" w:rsidR="008F7874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38ADF497" w:rsidR="006C6EF7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134646B3" w:rsidR="008021B6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09C3FD2E" w:rsidR="0029501E" w:rsidRPr="00987AD1" w:rsidRDefault="00467B3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12206295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3CC6667" w:rsidR="00551FDD" w:rsidRPr="00987AD1" w:rsidRDefault="0053715A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-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50374B88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 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41018CC9" w:rsidR="00E60B91" w:rsidRPr="00987AD1" w:rsidRDefault="001935C4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-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2744BBC9" w:rsidR="00E60B91" w:rsidRPr="00987AD1" w:rsidRDefault="0023048D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–-wymagany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712A15E8" w:rsidR="00E60B91" w:rsidRPr="00987AD1" w:rsidRDefault="0010398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Pr="00987AD1" w:rsidRDefault="00BB6C72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7E0247B1" w14:textId="6F723931" w:rsidR="00DD628D" w:rsidRPr="00987AD1" w:rsidRDefault="007A0820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wystąpienia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pomocy publicznej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lub pomocy de </w:t>
      </w:r>
      <w:proofErr w:type="spellStart"/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>– wymagany.</w:t>
      </w:r>
    </w:p>
    <w:p w14:paraId="4914DE82" w14:textId="43106D4E" w:rsidR="00EB1729" w:rsidRPr="00987AD1" w:rsidRDefault="00291999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D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>okumenty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potwierdzające dopuszczalność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pomocy publicznej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lub pomocy de </w:t>
      </w:r>
      <w:proofErr w:type="spellStart"/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>minimis</w:t>
      </w:r>
      <w:proofErr w:type="spellEnd"/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- </w:t>
      </w:r>
      <w:r w:rsidR="007A0820" w:rsidRPr="00987AD1">
        <w:rPr>
          <w:rFonts w:ascii="Open Sans Light" w:hAnsi="Open Sans Light" w:cs="Open Sans Light"/>
          <w:bCs/>
          <w:sz w:val="24"/>
          <w:szCs w:val="24"/>
        </w:rPr>
        <w:t>opcjonalny</w:t>
      </w:r>
    </w:p>
    <w:p w14:paraId="5C2E646B" w14:textId="6469C751" w:rsidR="00094932" w:rsidRPr="00987AD1" w:rsidRDefault="00B15B66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DE2DD6"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 xml:space="preserve"> 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>-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5D4B4AFE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19080F52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26CF020E" w14:textId="2C88D960" w:rsidR="009F03DF" w:rsidRPr="00987AD1" w:rsidRDefault="002021CD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</w:t>
      </w:r>
      <w:proofErr w:type="spellStart"/>
      <w:r w:rsidR="000327C9" w:rsidRPr="00987AD1">
        <w:rPr>
          <w:rFonts w:ascii="Open Sans Light" w:hAnsi="Open Sans Light" w:cs="Open Sans Light"/>
          <w:sz w:val="24"/>
          <w:szCs w:val="24"/>
        </w:rPr>
        <w:t>rar</w:t>
      </w:r>
      <w:proofErr w:type="spellEnd"/>
      <w:r w:rsidR="000327C9" w:rsidRPr="00987AD1">
        <w:rPr>
          <w:rFonts w:ascii="Open Sans Light" w:hAnsi="Open Sans Light" w:cs="Open Sans Light"/>
          <w:sz w:val="24"/>
          <w:szCs w:val="24"/>
        </w:rPr>
        <w:t>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xlsx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 lub </w:t>
      </w:r>
      <w:proofErr w:type="spellStart"/>
      <w:r w:rsidRPr="00987AD1">
        <w:rPr>
          <w:rFonts w:ascii="Open Sans Light" w:hAnsi="Open Sans Light" w:cs="Open Sans Light"/>
          <w:sz w:val="24"/>
          <w:szCs w:val="24"/>
        </w:rPr>
        <w:t>xlsm</w:t>
      </w:r>
      <w:proofErr w:type="spellEnd"/>
      <w:r w:rsidRPr="00987AD1">
        <w:rPr>
          <w:rFonts w:ascii="Open Sans Light" w:hAnsi="Open Sans Light" w:cs="Open Sans Light"/>
          <w:sz w:val="24"/>
          <w:szCs w:val="24"/>
        </w:rPr>
        <w:t xml:space="preserve">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0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0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215F57C4" w14:textId="61B6C761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0BB186" w14:textId="27A640FE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018058C" w14:textId="2499AB5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4E2C00" w14:textId="6FFAD33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485CF4F" w14:textId="1C6EB39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DEC4992" w14:textId="4CCF5C3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A10FB86" w14:textId="088E2C35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42AFA4" w14:textId="0658FDE0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F101EF1" w14:textId="487FCF9A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A4C2ECB" w14:textId="07AC188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035093E" w14:textId="3DB07D7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C943E0" w14:textId="623DAA7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2C152A5" w14:textId="7D8C85B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78F66DA" w14:textId="77777777" w:rsidR="00987AD1" w:rsidRPr="00987AD1" w:rsidRDefault="00987AD1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F27ED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488E7C80" w14:textId="6D76B5FA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 dla przedsięwzięć inwestycyjnych</w:t>
      </w:r>
      <w:r w:rsidR="00FE2446">
        <w:rPr>
          <w:rFonts w:ascii="Open Sans Light" w:hAnsi="Open Sans Light" w:cs="Open Sans Light"/>
        </w:rPr>
        <w:br/>
      </w:r>
      <w:r w:rsidRPr="00987AD1">
        <w:rPr>
          <w:rFonts w:ascii="Open Sans Light" w:hAnsi="Open Sans Light" w:cs="Open Sans Light"/>
        </w:rPr>
        <w:t>Dotyczących gospodarki odpadami</w:t>
      </w:r>
    </w:p>
    <w:p w14:paraId="1D4B0727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625E36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Działanie FENX.01.04 Gospodarka odpadami oraz gospodarka o obiegu zamkniętym</w:t>
      </w:r>
    </w:p>
    <w:p w14:paraId="534BF36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3C675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0F9AD9C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4F9D998E" w14:textId="4AD198D6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1.2. Podmioty odpowiedzialne za </w:t>
      </w:r>
      <w:proofErr w:type="gramStart"/>
      <w:r w:rsidRPr="00987AD1">
        <w:rPr>
          <w:rFonts w:ascii="Open Sans Light" w:hAnsi="Open Sans Light" w:cs="Open Sans Light"/>
        </w:rPr>
        <w:t>realizację  przedsięwzięcia</w:t>
      </w:r>
      <w:proofErr w:type="gramEnd"/>
      <w:r w:rsidRPr="00987AD1">
        <w:rPr>
          <w:rFonts w:ascii="Open Sans Light" w:hAnsi="Open Sans Light" w:cs="Open Sans Light"/>
        </w:rPr>
        <w:t xml:space="preserve">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</w:t>
      </w:r>
      <w:r w:rsidR="005E61B1" w:rsidRPr="00987AD1">
        <w:rPr>
          <w:rFonts w:ascii="Open Sans Light" w:hAnsi="Open Sans Light" w:cs="Open Sans Light"/>
        </w:rPr>
        <w:t>d</w:t>
      </w:r>
      <w:r w:rsidRPr="00987AD1">
        <w:rPr>
          <w:rFonts w:ascii="Open Sans Light" w:hAnsi="Open Sans Light" w:cs="Open Sans Light"/>
        </w:rPr>
        <w:t>otyczy)</w:t>
      </w:r>
    </w:p>
    <w:p w14:paraId="6C18CF1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0ECCFAB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68BB57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761AE64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01024AF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5003306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256512F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3194BB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5F2EB5DF" w14:textId="07CBAC11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</w:t>
      </w:r>
      <w:proofErr w:type="gramStart"/>
      <w:r w:rsidRPr="00987AD1">
        <w:rPr>
          <w:rFonts w:ascii="Open Sans Light" w:hAnsi="Open Sans Light" w:cs="Open Sans Light"/>
        </w:rPr>
        <w:t>zakresie  ochrony</w:t>
      </w:r>
      <w:proofErr w:type="gramEnd"/>
      <w:r w:rsidRPr="00987AD1">
        <w:rPr>
          <w:rFonts w:ascii="Open Sans Light" w:hAnsi="Open Sans Light" w:cs="Open Sans Light"/>
        </w:rPr>
        <w:t xml:space="preserve"> środowiska </w:t>
      </w:r>
    </w:p>
    <w:p w14:paraId="1CCB7D93" w14:textId="5609B9D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459D354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3B11226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1B61CC2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11E2660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35714D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1.6. Wyniki analizy finansowej </w:t>
      </w:r>
    </w:p>
    <w:p w14:paraId="56CA0A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1.7. Plan finansowania przedsięwzięcia</w:t>
      </w:r>
    </w:p>
    <w:p w14:paraId="20057D0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1.8. Wyniki analizy trwałości finansowej</w:t>
      </w:r>
    </w:p>
    <w:p w14:paraId="0D9B44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1.9. Wyniki analizy kosztów i korzyści </w:t>
      </w:r>
    </w:p>
    <w:p w14:paraId="188D6E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1.10. Wyniki analizy ryzyka i wrażliwości </w:t>
      </w:r>
    </w:p>
    <w:p w14:paraId="04C2BF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1.11. Komplementarność przedsięwzięcia względem innych projektów</w:t>
      </w:r>
    </w:p>
    <w:p w14:paraId="3E463E8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27DA57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2. Opis istniejącego systemu odpadowego</w:t>
      </w:r>
    </w:p>
    <w:p w14:paraId="7E5ABC4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2.1. Struktura organizacyjna działania systemu</w:t>
      </w:r>
    </w:p>
    <w:p w14:paraId="4C046087" w14:textId="4F80934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2.1.1. Struktura organizacyjna z uwzględnieniem podziału k</w:t>
      </w:r>
      <w:r w:rsidR="00A06325" w:rsidRPr="00987AD1">
        <w:rPr>
          <w:rFonts w:ascii="Open Sans Light" w:hAnsi="Open Sans Light" w:cs="Open Sans Light"/>
        </w:rPr>
        <w:t xml:space="preserve">ompetencji, współzależności i </w:t>
      </w:r>
      <w:r w:rsidRPr="00987AD1">
        <w:rPr>
          <w:rFonts w:ascii="Open Sans Light" w:hAnsi="Open Sans Light" w:cs="Open Sans Light"/>
        </w:rPr>
        <w:t xml:space="preserve">struktury własności </w:t>
      </w:r>
    </w:p>
    <w:p w14:paraId="5EF7F2C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6929D7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6FF29ADF" w14:textId="794B174E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</w:t>
      </w:r>
      <w:r w:rsidR="00A06325" w:rsidRPr="00987AD1">
        <w:rPr>
          <w:rFonts w:ascii="Open Sans Light" w:hAnsi="Open Sans Light" w:cs="Open Sans Light"/>
        </w:rPr>
        <w:t xml:space="preserve">udział podmiotu w rynku (o ile </w:t>
      </w:r>
      <w:r w:rsidRPr="00987AD1">
        <w:rPr>
          <w:rFonts w:ascii="Open Sans Light" w:hAnsi="Open Sans Light" w:cs="Open Sans Light"/>
        </w:rPr>
        <w:t>dotyczy)</w:t>
      </w:r>
    </w:p>
    <w:p w14:paraId="44296DF0" w14:textId="651AD516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2.1.2.3. Prezentacja sytuacji finansowej beneficjenta i innych podmiotów (</w:t>
      </w:r>
      <w:proofErr w:type="gramStart"/>
      <w:r w:rsidRPr="00987AD1">
        <w:rPr>
          <w:rFonts w:ascii="Open Sans Light" w:hAnsi="Open Sans Light" w:cs="Open Sans Light"/>
        </w:rPr>
        <w:t>o  ile</w:t>
      </w:r>
      <w:proofErr w:type="gramEnd"/>
      <w:r w:rsidRPr="00987AD1">
        <w:rPr>
          <w:rFonts w:ascii="Open Sans Light" w:hAnsi="Open Sans Light" w:cs="Open Sans Light"/>
        </w:rPr>
        <w:t xml:space="preserve"> dotyczy) –  podstawowe dane i wskaźniki obejmujące min. 3 lata  wstecz </w:t>
      </w:r>
    </w:p>
    <w:p w14:paraId="046B6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26960E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2.3. Charakterystyka techniczna istniejącego systemu </w:t>
      </w:r>
    </w:p>
    <w:p w14:paraId="65AFE14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27629FA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2.4.1. Zgodność projektu z wojewódzkim planem gospodarki odpadami oraz planem </w:t>
      </w:r>
    </w:p>
    <w:p w14:paraId="0D92FC32" w14:textId="77777777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inwestycyjnym</w:t>
      </w:r>
    </w:p>
    <w:p w14:paraId="5AE1C4A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2243421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094B68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systemu, w tym inwestycji odtworzeniowych </w:t>
      </w:r>
    </w:p>
    <w:p w14:paraId="2CEF82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B7C3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66A187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5DC65BC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1DBBD6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4A25C9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3.2. Bieżący i przyszły popyt zgłaszany przez gospodarstwa domowe</w:t>
      </w:r>
    </w:p>
    <w:p w14:paraId="26B2627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3.2.1. Bieżący popyt oraz identyfikacja aktualnej liczby odbiorców indywidualnych</w:t>
      </w:r>
    </w:p>
    <w:p w14:paraId="24776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3.2.2. Prognozy jakościowe i ilościowe zapotrzebowania na usługi          </w:t>
      </w:r>
    </w:p>
    <w:p w14:paraId="14B783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3.2.2.1. Prognozy demograficzne z uwzględnieniem ruchów migracyjnych</w:t>
      </w:r>
    </w:p>
    <w:p w14:paraId="5F4B162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3.2.2.2. Analiza zdolności mieszkańców do ponoszenia opłat</w:t>
      </w:r>
    </w:p>
    <w:p w14:paraId="5E9D6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3.2.2.3. Przyszły popyt zgłaszany przez odbiorców indywidualnych z </w:t>
      </w:r>
    </w:p>
    <w:p w14:paraId="578EEBF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uwzględnieniem cenowej i dochodowej elastyczności popytu</w:t>
      </w:r>
    </w:p>
    <w:p w14:paraId="20FF94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3.3. Bieżący i przyszły popyt zgłaszany przez przemysł</w:t>
      </w:r>
    </w:p>
    <w:p w14:paraId="07F506C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3.3.1. Bieżący popyt</w:t>
      </w:r>
    </w:p>
    <w:p w14:paraId="5E10EB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3.3.2. Przyszły popyt</w:t>
      </w:r>
    </w:p>
    <w:p w14:paraId="4A1598B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3.4. Bieżący i przyszły popyt zgłaszany przez podmioty użyteczności publicznej i sektor</w:t>
      </w:r>
    </w:p>
    <w:p w14:paraId="3990027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usługowy</w:t>
      </w:r>
    </w:p>
    <w:p w14:paraId="64BB573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3.4.1. Bieżący popyt</w:t>
      </w:r>
    </w:p>
    <w:p w14:paraId="020E87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3.4.2. Przyszły popyt</w:t>
      </w:r>
    </w:p>
    <w:p w14:paraId="0283E4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3.5. Bieżący i przyszły popyt łącznie</w:t>
      </w:r>
    </w:p>
    <w:p w14:paraId="18CFC8B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653319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70A1893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28626DE4" w14:textId="01D60F5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631E7BE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78F5F19D" w14:textId="09C39FF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0E4307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3C838F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E34083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0580E6C1" w14:textId="4A9C47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</w:t>
      </w:r>
      <w:r w:rsidR="00A06325" w:rsidRPr="00987AD1">
        <w:rPr>
          <w:rFonts w:ascii="Open Sans Light" w:hAnsi="Open Sans Light" w:cs="Open Sans Light"/>
        </w:rPr>
        <w:t xml:space="preserve">m środowiskowym (uwzględniając </w:t>
      </w:r>
      <w:r w:rsidRPr="00987AD1">
        <w:rPr>
          <w:rFonts w:ascii="Open Sans Light" w:hAnsi="Open Sans Light" w:cs="Open Sans Light"/>
        </w:rPr>
        <w:t>wpływ oraz odporność na zmianę klimatu i zagrożenia związ</w:t>
      </w:r>
      <w:r w:rsidR="00A06325" w:rsidRPr="00987AD1">
        <w:rPr>
          <w:rFonts w:ascii="Open Sans Light" w:hAnsi="Open Sans Light" w:cs="Open Sans Light"/>
        </w:rPr>
        <w:t xml:space="preserve">ane z klęskami </w:t>
      </w:r>
      <w:r w:rsidRPr="00987AD1">
        <w:rPr>
          <w:rFonts w:ascii="Open Sans Light" w:hAnsi="Open Sans Light" w:cs="Open Sans Light"/>
        </w:rPr>
        <w:t xml:space="preserve">żywiołowymi) </w:t>
      </w:r>
    </w:p>
    <w:p w14:paraId="3EDB94A3" w14:textId="330F57C2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4.4. Wybór najlepszego rozwiązania spośród rozważanych opcji wraz z uzasadnieniem </w:t>
      </w:r>
      <w:proofErr w:type="gramStart"/>
      <w:r w:rsidRPr="00987AD1">
        <w:rPr>
          <w:rFonts w:ascii="Open Sans Light" w:hAnsi="Open Sans Light" w:cs="Open Sans Light"/>
        </w:rPr>
        <w:t>dokonanego  wyboru</w:t>
      </w:r>
      <w:proofErr w:type="gramEnd"/>
      <w:r w:rsidRPr="00987AD1">
        <w:rPr>
          <w:rFonts w:ascii="Open Sans Light" w:hAnsi="Open Sans Light" w:cs="Open Sans Light"/>
        </w:rPr>
        <w:t>.</w:t>
      </w:r>
    </w:p>
    <w:p w14:paraId="08E20A1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2A98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1D5730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34E4503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35E707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7B1113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919BA9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4B189F8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0AADDCD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4AFEA8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268C988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7AC3353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2DDEAE6B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52D6148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 na efektywność </w:t>
      </w:r>
      <w:proofErr w:type="gramStart"/>
      <w:r w:rsidRPr="00987AD1">
        <w:rPr>
          <w:rFonts w:ascii="Open Sans Light" w:hAnsi="Open Sans Light" w:cs="Open Sans Light"/>
        </w:rPr>
        <w:t>energetyczną  oraz</w:t>
      </w:r>
      <w:proofErr w:type="gramEnd"/>
      <w:r w:rsidRPr="00987AD1">
        <w:rPr>
          <w:rFonts w:ascii="Open Sans Light" w:hAnsi="Open Sans Light" w:cs="Open Sans Light"/>
        </w:rPr>
        <w:t xml:space="preserve"> na zapewnienie </w:t>
      </w:r>
    </w:p>
    <w:p w14:paraId="79DDD707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oszczędności wody</w:t>
      </w:r>
    </w:p>
    <w:p w14:paraId="4E8F27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6.3.4. Sposób zagospodarowania produktów ubocznych</w:t>
      </w:r>
    </w:p>
    <w:p w14:paraId="64FA5B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73A3787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615244A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inwestycje, koszty zakupu oraz rekompensat </w:t>
      </w:r>
    </w:p>
    <w:p w14:paraId="2C1F99A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6.4.3. Zgodność przedsięwzięcia z miejscowymi planami zagospodarowania przestrzennego </w:t>
      </w:r>
    </w:p>
    <w:p w14:paraId="535641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F2A47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03F2CB4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146D3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3D8DE69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07D423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706EF78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6.8. Niezbędne inwestycje odtworzeniowe przedsięwzięcia w fazie </w:t>
      </w:r>
      <w:proofErr w:type="gramStart"/>
      <w:r w:rsidRPr="00987AD1">
        <w:rPr>
          <w:rFonts w:ascii="Open Sans Light" w:hAnsi="Open Sans Light" w:cs="Open Sans Light"/>
        </w:rPr>
        <w:t>operacyjnej .</w:t>
      </w:r>
      <w:proofErr w:type="gramEnd"/>
    </w:p>
    <w:p w14:paraId="6C1A870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0BBE0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2A2718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3CEA9FB0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</w:t>
      </w:r>
      <w:proofErr w:type="gramStart"/>
      <w:r w:rsidRPr="00987AD1">
        <w:rPr>
          <w:rFonts w:ascii="Open Sans Light" w:hAnsi="Open Sans Light" w:cs="Open Sans Light"/>
        </w:rPr>
        <w:t>zrównoważonego  rozwoju</w:t>
      </w:r>
      <w:proofErr w:type="gramEnd"/>
      <w:r w:rsidRPr="00987AD1">
        <w:rPr>
          <w:rFonts w:ascii="Open Sans Light" w:hAnsi="Open Sans Light" w:cs="Open Sans Light"/>
        </w:rPr>
        <w:t xml:space="preserve">, ochrony środowiska, zmian klimatu  </w:t>
      </w:r>
    </w:p>
    <w:p w14:paraId="0FFCF3A3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761B7FBD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7.1.3. Sposób wdrożenia przez projekt zasady zapobiegania zanieczyszczeniom u źródła i zasady zanieczyszczający płaci</w:t>
      </w:r>
    </w:p>
    <w:p w14:paraId="18007976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</w:t>
      </w:r>
    </w:p>
    <w:p w14:paraId="65406A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3800A48A" w14:textId="014A9F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3F5DA15A" w14:textId="718E87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</w:t>
      </w:r>
      <w:r w:rsidR="00A06325" w:rsidRPr="00987AD1">
        <w:rPr>
          <w:rFonts w:ascii="Open Sans Light" w:hAnsi="Open Sans Light" w:cs="Open Sans Light"/>
        </w:rPr>
        <w:t xml:space="preserve">owań </w:t>
      </w:r>
      <w:proofErr w:type="spellStart"/>
      <w:r w:rsidR="00A06325" w:rsidRPr="00987AD1">
        <w:rPr>
          <w:rFonts w:ascii="Open Sans Light" w:hAnsi="Open Sans Light" w:cs="Open Sans Light"/>
        </w:rPr>
        <w:t>ws</w:t>
      </w:r>
      <w:proofErr w:type="spellEnd"/>
      <w:r w:rsidR="00A06325" w:rsidRPr="00987AD1">
        <w:rPr>
          <w:rFonts w:ascii="Open Sans Light" w:hAnsi="Open Sans Light" w:cs="Open Sans Light"/>
        </w:rPr>
        <w:t xml:space="preserve">. OOŚ, ocena poprawności </w:t>
      </w:r>
      <w:r w:rsidRPr="00987AD1">
        <w:rPr>
          <w:rFonts w:ascii="Open Sans Light" w:hAnsi="Open Sans Light" w:cs="Open Sans Light"/>
        </w:rPr>
        <w:t>przeprowadzonych procedur pod kątem zgodności z wymogami Dyrektywy 2011/92/UE</w:t>
      </w:r>
    </w:p>
    <w:p w14:paraId="5B2A8833" w14:textId="22B3891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09B7F701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718B991B" w14:textId="77777777" w:rsidR="00DF359B" w:rsidRPr="00987AD1" w:rsidRDefault="00DF359B" w:rsidP="00987AD1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37DA669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665B886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1764D73B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12A1B127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6015D9E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4155E16A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16B57F92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4BEBB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C22D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041502FD" w14:textId="288B21B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8.1. Struktura wdrażania przedsięwzięcia, zestawienie i harmonogram niezbędnych działań, w </w:t>
      </w:r>
      <w:proofErr w:type="gramStart"/>
      <w:r w:rsidRPr="00987AD1">
        <w:rPr>
          <w:rFonts w:ascii="Open Sans Light" w:hAnsi="Open Sans Light" w:cs="Open Sans Light"/>
        </w:rPr>
        <w:t>tym  instytucjonalnych</w:t>
      </w:r>
      <w:proofErr w:type="gramEnd"/>
      <w:r w:rsidRPr="00987AD1">
        <w:rPr>
          <w:rFonts w:ascii="Open Sans Light" w:hAnsi="Open Sans Light" w:cs="Open Sans Light"/>
        </w:rPr>
        <w:t xml:space="preserve"> i administracyjnych w celu wdrożenia przedsięwzięcia </w:t>
      </w:r>
    </w:p>
    <w:p w14:paraId="352059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7ADAA952" w14:textId="02D71B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319EA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2F9DB8B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0C5269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</w:t>
      </w:r>
      <w:proofErr w:type="gramStart"/>
      <w:r w:rsidRPr="00987AD1">
        <w:rPr>
          <w:rFonts w:ascii="Open Sans Light" w:hAnsi="Open Sans Light" w:cs="Open Sans Light"/>
        </w:rPr>
        <w:t>realizacji  przedsięwzięcia</w:t>
      </w:r>
      <w:proofErr w:type="gramEnd"/>
      <w:r w:rsidRPr="00987AD1">
        <w:rPr>
          <w:rFonts w:ascii="Open Sans Light" w:hAnsi="Open Sans Light" w:cs="Open Sans Light"/>
        </w:rPr>
        <w:t xml:space="preserve"> </w:t>
      </w:r>
    </w:p>
    <w:p w14:paraId="3666595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0F7DC9A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7ACDE5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0FD009F0" w14:textId="730C7DF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9.1. Struktura i źródła finansowania kosztów kwalifikowanych i niekwalifikowanych </w:t>
      </w:r>
      <w:proofErr w:type="gramStart"/>
      <w:r w:rsidRPr="00987AD1">
        <w:rPr>
          <w:rFonts w:ascii="Open Sans Light" w:hAnsi="Open Sans Light" w:cs="Open Sans Light"/>
        </w:rPr>
        <w:t>przedsięwzięcia  z</w:t>
      </w:r>
      <w:proofErr w:type="gramEnd"/>
      <w:r w:rsidRPr="00987AD1">
        <w:rPr>
          <w:rFonts w:ascii="Open Sans Light" w:hAnsi="Open Sans Light" w:cs="Open Sans Light"/>
        </w:rPr>
        <w:t xml:space="preserve"> podziałem na lata realizacji inwestycji</w:t>
      </w:r>
    </w:p>
    <w:p w14:paraId="6F5C43C9" w14:textId="75DABBB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podmiotów* (o ile dotyczy) do zapewnienia wkładu   własnego i informacja o stanie zaawansowania pozyskania środków zewnętrznych</w:t>
      </w:r>
    </w:p>
    <w:p w14:paraId="41A170D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697243C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źródeł finansowania inwestycji (o ile dotyczy) z uwzględnieniem wyników analizy ryzyka </w:t>
      </w:r>
    </w:p>
    <w:p w14:paraId="5F9E8C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607BEE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0D667F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04449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46D31B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2BD694C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621641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0AE54A1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1957A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52B80E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7A1AC70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7052F5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10.3.1. Identyfikacja czy projekt generuje dochód</w:t>
      </w:r>
    </w:p>
    <w:p w14:paraId="399CFC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</w:p>
    <w:p w14:paraId="567D9EB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 Analiza finansowej efektywności przedsięwzięcia</w:t>
      </w:r>
    </w:p>
    <w:p w14:paraId="2C3F9EB7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10.5.1. Obliczenie zwrotu z inwestycji (FNPV/C i FIRR/C bez i z wsparciem UE)</w:t>
      </w:r>
    </w:p>
    <w:p w14:paraId="1FB89518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10.5.2. Obliczenie zwrotu z kapitału krajowego (FNPV/K i FIRR/K bez i z wsparciem </w:t>
      </w:r>
    </w:p>
    <w:p w14:paraId="073C7F8E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UE) – o ile dotyczy</w:t>
      </w:r>
    </w:p>
    <w:p w14:paraId="36F62927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C958A5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2FE92F4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1FC6AFE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457CC6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</w:p>
    <w:p w14:paraId="574837F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08980EA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4C778D5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47E6B8D9" w14:textId="05656C0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11.3. Analiza korzyści związanych z realizacją przedsięwzięcia z punktu widzenia </w:t>
      </w:r>
      <w:proofErr w:type="gramStart"/>
      <w:r w:rsidRPr="00987AD1">
        <w:rPr>
          <w:rFonts w:ascii="Open Sans Light" w:hAnsi="Open Sans Light" w:cs="Open Sans Light"/>
        </w:rPr>
        <w:t>społeczności  (</w:t>
      </w:r>
      <w:proofErr w:type="gramEnd"/>
      <w:r w:rsidRPr="00987AD1">
        <w:rPr>
          <w:rFonts w:ascii="Open Sans Light" w:hAnsi="Open Sans Light" w:cs="Open Sans Light"/>
        </w:rPr>
        <w:t>jakościowa i ilościowa), w tym skutki przedsięwzięcia dla zatrudnienia</w:t>
      </w:r>
    </w:p>
    <w:p w14:paraId="794E444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proofErr w:type="gramStart"/>
      <w:r w:rsidRPr="00987AD1">
        <w:rPr>
          <w:rFonts w:ascii="Open Sans Light" w:hAnsi="Open Sans Light" w:cs="Open Sans Light"/>
        </w:rPr>
        <w:t>11.4.  Analiza</w:t>
      </w:r>
      <w:proofErr w:type="gramEnd"/>
      <w:r w:rsidRPr="00987AD1">
        <w:rPr>
          <w:rFonts w:ascii="Open Sans Light" w:hAnsi="Open Sans Light" w:cs="Open Sans Light"/>
        </w:rPr>
        <w:t xml:space="preserve"> ekonomiczna (o ile dotyczy)</w:t>
      </w:r>
    </w:p>
    <w:p w14:paraId="4A9F5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</w:t>
      </w:r>
      <w:proofErr w:type="gramStart"/>
      <w:r w:rsidRPr="00987AD1">
        <w:rPr>
          <w:rFonts w:ascii="Open Sans Light" w:hAnsi="Open Sans Light" w:cs="Open Sans Light"/>
        </w:rPr>
        <w:t>11.4.1.  Korekty</w:t>
      </w:r>
      <w:proofErr w:type="gramEnd"/>
      <w:r w:rsidRPr="00987AD1">
        <w:rPr>
          <w:rFonts w:ascii="Open Sans Light" w:hAnsi="Open Sans Light" w:cs="Open Sans Light"/>
        </w:rPr>
        <w:t xml:space="preserve"> przepływów pieniężnych przedsięwzięcia </w:t>
      </w:r>
    </w:p>
    <w:p w14:paraId="5EFDBE0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476FB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2307424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6886733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08FEBB2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2F5EAD8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5E33A5C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7E6C85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243E42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38A0E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25BC2521" w14:textId="4C4284B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</w:t>
      </w:r>
      <w:proofErr w:type="gramStart"/>
      <w:r w:rsidRPr="00987AD1">
        <w:rPr>
          <w:rFonts w:ascii="Open Sans Light" w:hAnsi="Open Sans Light" w:cs="Open Sans Light"/>
        </w:rPr>
        <w:t>finansowej  i</w:t>
      </w:r>
      <w:proofErr w:type="gramEnd"/>
      <w:r w:rsidR="00A06325" w:rsidRPr="00987AD1">
        <w:rPr>
          <w:rFonts w:ascii="Open Sans Light" w:hAnsi="Open Sans Light" w:cs="Open Sans Light"/>
        </w:rPr>
        <w:t xml:space="preserve"> ekonomicznej (o ile dotyczy)  </w:t>
      </w:r>
      <w:r w:rsidRPr="00987AD1">
        <w:rPr>
          <w:rFonts w:ascii="Open Sans Light" w:hAnsi="Open Sans Light" w:cs="Open Sans Light"/>
        </w:rPr>
        <w:t xml:space="preserve">efektywności przedsięwzięcia oraz jego trwałość finansową </w:t>
      </w:r>
    </w:p>
    <w:p w14:paraId="3DE91EE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335476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4A4AC8F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320C0A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130897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4BAAAD9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6DD2BB5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</w:t>
      </w:r>
      <w:proofErr w:type="spellStart"/>
      <w:r w:rsidRPr="00987AD1">
        <w:rPr>
          <w:rFonts w:ascii="Open Sans Light" w:hAnsi="Open Sans Light" w:cs="Open Sans Light"/>
        </w:rPr>
        <w:t>mitygacja</w:t>
      </w:r>
      <w:proofErr w:type="spellEnd"/>
      <w:r w:rsidRPr="00987AD1">
        <w:rPr>
          <w:rFonts w:ascii="Open Sans Light" w:hAnsi="Open Sans Light" w:cs="Open Sans Light"/>
        </w:rPr>
        <w:t xml:space="preserve"> ryzyka, ryzyka rezydualne) </w:t>
      </w:r>
    </w:p>
    <w:p w14:paraId="486912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73535B7F" w14:textId="7777777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0C0EA1D" w14:textId="77777777" w:rsidR="00357143" w:rsidRPr="00987AD1" w:rsidRDefault="00357143" w:rsidP="00987AD1">
      <w:pPr>
        <w:pStyle w:val="Akapitzlist"/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</w:p>
    <w:p w14:paraId="704E4695" w14:textId="77777777" w:rsidR="00F47ADD" w:rsidRPr="00987AD1" w:rsidRDefault="00F47ADD" w:rsidP="00987AD1">
      <w:pPr>
        <w:spacing w:line="276" w:lineRule="auto"/>
        <w:contextualSpacing/>
        <w:rPr>
          <w:rFonts w:ascii="Open Sans Light" w:hAnsi="Open Sans Light" w:cs="Open Sans Light"/>
        </w:rPr>
      </w:pPr>
    </w:p>
    <w:p w14:paraId="3F11D737" w14:textId="77777777" w:rsidR="00ED28F1" w:rsidRPr="00987AD1" w:rsidRDefault="00ED28F1" w:rsidP="00987AD1">
      <w:pPr>
        <w:spacing w:line="276" w:lineRule="auto"/>
        <w:rPr>
          <w:rFonts w:ascii="Open Sans Light" w:hAnsi="Open Sans Light" w:cs="Open Sans Light"/>
        </w:rPr>
      </w:pPr>
    </w:p>
    <w:p w14:paraId="777FCFEB" w14:textId="77777777" w:rsidR="00094932" w:rsidRPr="00987AD1" w:rsidRDefault="00094932" w:rsidP="00987AD1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4ECE431" w14:textId="6D64B1CB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D0CA24" w14:textId="77777777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</w:p>
    <w:p w14:paraId="2344A3BA" w14:textId="545090D3" w:rsidR="00A06325" w:rsidRPr="00987AD1" w:rsidRDefault="00A06325" w:rsidP="00987AD1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Założenia do analiz finansowych dla działania FENX.01.04 Gospodarka odpadami oraz gospodarka o obiegu zamkniętym</w:t>
      </w:r>
    </w:p>
    <w:p w14:paraId="1B49E120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</w:p>
    <w:p w14:paraId="7C4E5832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649A729E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142C0C5D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78E31403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3A83BB30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ww. okres zgodnie z okresami odniesienia tożsamymi dla analizy finansowej i analizy ekonomicznej, zdefiniowanymi dla poprzedniej perspektywy finansowej </w:t>
      </w:r>
      <w:proofErr w:type="spellStart"/>
      <w:r w:rsidRPr="00987AD1">
        <w:rPr>
          <w:rFonts w:ascii="Open Sans Light" w:eastAsia="Calibri" w:hAnsi="Open Sans Light" w:cs="Open Sans Light"/>
        </w:rPr>
        <w:t>POIiŚ</w:t>
      </w:r>
      <w:proofErr w:type="spellEnd"/>
      <w:r w:rsidRPr="00987AD1">
        <w:rPr>
          <w:rFonts w:ascii="Open Sans Light" w:eastAsia="Calibri" w:hAnsi="Open Sans Light" w:cs="Open Sans Light"/>
        </w:rPr>
        <w:t xml:space="preserve"> 2014-2020 (Załącznik I do rozporządzenia nr KE 480/2014), tj.:</w:t>
      </w:r>
    </w:p>
    <w:p w14:paraId="6AB10344" w14:textId="77777777" w:rsidR="00A06325" w:rsidRPr="00987AD1" w:rsidRDefault="00A06325" w:rsidP="00987AD1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Gospodarowanie odpadami: 25 lat.</w:t>
      </w:r>
    </w:p>
    <w:p w14:paraId="23D737F3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128A1C81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57742F51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do jednolitego stosowania metodę obliczenia wartości rezydualnej w oparciu o wycenę wartości aktywów trwałych netto, określoną przy wykorzystaniu metody i okresu amortyzacji zgodnych z polityką rachunkowości beneficjenta/operatora.</w:t>
      </w:r>
    </w:p>
    <w:p w14:paraId="1F4827F2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2E312982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2F123BB7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z dokumentem: </w:t>
      </w:r>
      <w:r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6989AD00" w14:textId="77777777" w:rsidR="00A06325" w:rsidRPr="00987AD1" w:rsidRDefault="00A06325" w:rsidP="00987AD1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stałych lub</w:t>
      </w:r>
    </w:p>
    <w:p w14:paraId="61BECAD0" w14:textId="77777777" w:rsidR="00A06325" w:rsidRPr="00987AD1" w:rsidRDefault="00A06325" w:rsidP="00987AD1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bieżących, przy czym, o ile to możliwe i uzasadnione, powinna być przeprowadzona w cenach stałych.</w:t>
      </w:r>
    </w:p>
    <w:p w14:paraId="6F778A64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58050FB2" w14:textId="77777777" w:rsidR="00A06325" w:rsidRPr="00987AD1" w:rsidRDefault="00A06325" w:rsidP="00987AD1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5537F2C2" w14:textId="77777777" w:rsidR="00A06325" w:rsidRPr="00987AD1" w:rsidRDefault="00A06325" w:rsidP="00987AD1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9 % dla analizy finansowej prowadzonej w cenach bieżących. </w:t>
      </w:r>
    </w:p>
    <w:p w14:paraId="5E68E72C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797975FF" w14:textId="77777777" w:rsidR="00A06325" w:rsidRPr="00987AD1" w:rsidRDefault="00A06325" w:rsidP="00987AD1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43B0B0DF" w14:textId="77777777" w:rsidR="00A06325" w:rsidRPr="00987AD1" w:rsidRDefault="00A06325" w:rsidP="00987AD1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6C7E30F4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4028E798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7C497BDF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jest szczegółowa analiza ryzyka, uzasadniająca utworzenie rezerwy. </w:t>
      </w:r>
    </w:p>
    <w:p w14:paraId="2A22090F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76C23F6A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 na nieprzewidziane wydatki nie uwzględnia się dla potrzeb kalkulacji wskaźników efektywności finansowej i ekonomicznej oraz trwałości finansowej projektu z uwagi na fakt, iż nie stanowią one przepływu środków pieniężnych. W związku z tym, wartość rezerw na nieprzewidziane wydatki należy prezentować oddzielnie od nakładów inwestycyjnych na realizację projektu.</w:t>
      </w:r>
    </w:p>
    <w:p w14:paraId="1507C3D7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Rezerwa na nieprzewidziane wydatki nie stanowi kosztów operacyjnych. Ponadto niepieniężne pozycje rachunkowe, takie jak rezerwy na nieprzewidziane wydatki, nie mogą być przedmiotem analizy finansowej.</w:t>
      </w:r>
    </w:p>
    <w:p w14:paraId="65F0CC2C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1D58F3F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p w14:paraId="58E546DE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działania FENX.01.04. Gospodarka odpadami oraz gospodarka o obiegu zamkniętym, Typ projektu: Systemy selektywnego zbierania odpadów komunalnych uwzględniające rozwiązania dotyczące zapobiegania powstawaniu odpadów, w tym ponowne użycie, NABÓR NR FENX.01.04-IW.01-001/23, </w:t>
      </w:r>
    </w:p>
    <w:p w14:paraId="6EDC8A76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nie stosuje się dostępności cenowej. </w:t>
      </w:r>
    </w:p>
    <w:p w14:paraId="1DB8CC94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558CF90B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 DGC</w:t>
      </w:r>
    </w:p>
    <w:p w14:paraId="1C3B0C71" w14:textId="39967368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do jednolitego stosowania regulacje dotyczące przeprowadzania analiz efektywności kosztowej zgodnie z dokumentem „</w:t>
      </w:r>
      <w:r w:rsidRPr="00987AD1">
        <w:rPr>
          <w:rFonts w:ascii="Open Sans Light" w:eastAsia="Calibri" w:hAnsi="Open Sans Light" w:cs="Open Sans Light"/>
          <w:i/>
          <w:iCs/>
        </w:rPr>
        <w:t>Metodyka analizy efektywności kosztowej w oparciu o wskaźnik dynamicznego kosztu jednostkowego (</w:t>
      </w:r>
      <w:proofErr w:type="spellStart"/>
      <w:r w:rsidRPr="00987AD1">
        <w:rPr>
          <w:rFonts w:ascii="Open Sans Light" w:eastAsia="Calibri" w:hAnsi="Open Sans Light" w:cs="Open Sans Light"/>
          <w:i/>
          <w:iCs/>
        </w:rPr>
        <w:t>Dynamic</w:t>
      </w:r>
      <w:proofErr w:type="spellEnd"/>
      <w:r w:rsidRPr="00987AD1">
        <w:rPr>
          <w:rFonts w:ascii="Open Sans Light" w:eastAsia="Calibri" w:hAnsi="Open Sans Light" w:cs="Open Sans Light"/>
          <w:i/>
          <w:iCs/>
        </w:rPr>
        <w:t xml:space="preserve"> </w:t>
      </w:r>
      <w:proofErr w:type="spellStart"/>
      <w:r w:rsidRPr="00987AD1">
        <w:rPr>
          <w:rFonts w:ascii="Open Sans Light" w:eastAsia="Calibri" w:hAnsi="Open Sans Light" w:cs="Open Sans Light"/>
          <w:i/>
          <w:iCs/>
        </w:rPr>
        <w:t>Generation</w:t>
      </w:r>
      <w:proofErr w:type="spellEnd"/>
      <w:r w:rsidRPr="00987AD1">
        <w:rPr>
          <w:rFonts w:ascii="Open Sans Light" w:eastAsia="Calibri" w:hAnsi="Open Sans Light" w:cs="Open Sans Light"/>
          <w:i/>
          <w:iCs/>
        </w:rPr>
        <w:t xml:space="preserve"> </w:t>
      </w:r>
      <w:proofErr w:type="spellStart"/>
      <w:r w:rsidRPr="00987AD1">
        <w:rPr>
          <w:rFonts w:ascii="Open Sans Light" w:eastAsia="Calibri" w:hAnsi="Open Sans Light" w:cs="Open Sans Light"/>
          <w:i/>
          <w:iCs/>
        </w:rPr>
        <w:t>Cost</w:t>
      </w:r>
      <w:proofErr w:type="spellEnd"/>
      <w:r w:rsidRPr="00987AD1">
        <w:rPr>
          <w:rFonts w:ascii="Open Sans Light" w:eastAsia="Calibri" w:hAnsi="Open Sans Light" w:cs="Open Sans Light"/>
          <w:i/>
          <w:iCs/>
        </w:rPr>
        <w:t>)</w:t>
      </w:r>
      <w:r w:rsidR="001E79C8" w:rsidRPr="00987AD1">
        <w:rPr>
          <w:rFonts w:ascii="Open Sans Light" w:eastAsia="Calibri" w:hAnsi="Open Sans Light" w:cs="Open Sans Light"/>
        </w:rPr>
        <w:t>”.</w:t>
      </w:r>
    </w:p>
    <w:p w14:paraId="2058FEAE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112F1276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VII. Uproszczenia w zależności od wartości kosztów całkowitych projektu.</w:t>
      </w:r>
    </w:p>
    <w:p w14:paraId="55E3E3A6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22A14CA5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Czyli, w ujęciu finansowym są to koszty brutto (koszt brutto = koszty netto + podatek VAT). </w:t>
      </w:r>
    </w:p>
    <w:p w14:paraId="21061AA7" w14:textId="77777777" w:rsidR="00A06325" w:rsidRPr="00987AD1" w:rsidRDefault="00A06325" w:rsidP="00987AD1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023941CD" w14:textId="77777777" w:rsidR="00A06325" w:rsidRPr="00987AD1" w:rsidRDefault="00A06325" w:rsidP="00987AD1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699E13BC" w14:textId="77777777" w:rsidR="00A06325" w:rsidRPr="00987AD1" w:rsidRDefault="00A06325" w:rsidP="00987AD1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77FE7AAE" w14:textId="1B698F67" w:rsidR="00A06325" w:rsidRPr="00987AD1" w:rsidRDefault="00A06325" w:rsidP="00987AD1">
      <w:pPr>
        <w:pStyle w:val="NormalnyWeb"/>
        <w:spacing w:after="120" w:afterAutospacing="0" w:line="276" w:lineRule="auto"/>
        <w:rPr>
          <w:rStyle w:val="font-weight-bold"/>
          <w:rFonts w:ascii="Open Sans Light" w:hAnsi="Open Sans Light" w:cs="Open Sans Light"/>
          <w:sz w:val="22"/>
          <w:szCs w:val="22"/>
        </w:rPr>
      </w:pPr>
    </w:p>
    <w:sectPr w:rsidR="00A06325" w:rsidRPr="00987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B26F" w14:textId="77777777" w:rsidR="00141126" w:rsidRDefault="00141126" w:rsidP="00F17459">
      <w:pPr>
        <w:spacing w:after="0" w:line="240" w:lineRule="auto"/>
      </w:pPr>
      <w:r>
        <w:separator/>
      </w:r>
    </w:p>
  </w:endnote>
  <w:endnote w:type="continuationSeparator" w:id="0">
    <w:p w14:paraId="3247D0F4" w14:textId="77777777" w:rsidR="00141126" w:rsidRDefault="0014112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DC8B" w14:textId="77777777" w:rsidR="00141126" w:rsidRDefault="00141126" w:rsidP="00F17459">
      <w:pPr>
        <w:spacing w:after="0" w:line="240" w:lineRule="auto"/>
      </w:pPr>
      <w:r>
        <w:separator/>
      </w:r>
    </w:p>
  </w:footnote>
  <w:footnote w:type="continuationSeparator" w:id="0">
    <w:p w14:paraId="55A037ED" w14:textId="77777777" w:rsidR="00141126" w:rsidRDefault="00141126" w:rsidP="00F17459">
      <w:pPr>
        <w:spacing w:after="0" w:line="240" w:lineRule="auto"/>
      </w:pPr>
      <w:r>
        <w:continuationSeparator/>
      </w:r>
    </w:p>
  </w:footnote>
  <w:footnote w:id="1">
    <w:p w14:paraId="25292A3C" w14:textId="77777777" w:rsidR="00DF359B" w:rsidRDefault="00DF359B" w:rsidP="00DF359B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746039C" w14:textId="77777777" w:rsidR="00DF359B" w:rsidRDefault="00DF359B" w:rsidP="00DF359B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3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567065">
    <w:abstractNumId w:val="16"/>
  </w:num>
  <w:num w:numId="2" w16cid:durableId="1869484745">
    <w:abstractNumId w:val="23"/>
  </w:num>
  <w:num w:numId="3" w16cid:durableId="1104156526">
    <w:abstractNumId w:val="12"/>
  </w:num>
  <w:num w:numId="4" w16cid:durableId="592319431">
    <w:abstractNumId w:val="18"/>
  </w:num>
  <w:num w:numId="5" w16cid:durableId="118961581">
    <w:abstractNumId w:val="11"/>
  </w:num>
  <w:num w:numId="6" w16cid:durableId="1225338180">
    <w:abstractNumId w:val="15"/>
  </w:num>
  <w:num w:numId="7" w16cid:durableId="1335838253">
    <w:abstractNumId w:val="36"/>
  </w:num>
  <w:num w:numId="8" w16cid:durableId="200630747">
    <w:abstractNumId w:val="22"/>
  </w:num>
  <w:num w:numId="9" w16cid:durableId="1713454311">
    <w:abstractNumId w:val="39"/>
  </w:num>
  <w:num w:numId="10" w16cid:durableId="400060462">
    <w:abstractNumId w:val="5"/>
  </w:num>
  <w:num w:numId="11" w16cid:durableId="1818961135">
    <w:abstractNumId w:val="8"/>
  </w:num>
  <w:num w:numId="12" w16cid:durableId="150560934">
    <w:abstractNumId w:val="37"/>
  </w:num>
  <w:num w:numId="13" w16cid:durableId="130293482">
    <w:abstractNumId w:val="30"/>
  </w:num>
  <w:num w:numId="14" w16cid:durableId="517813308">
    <w:abstractNumId w:val="14"/>
  </w:num>
  <w:num w:numId="15" w16cid:durableId="914439806">
    <w:abstractNumId w:val="33"/>
  </w:num>
  <w:num w:numId="16" w16cid:durableId="98961315">
    <w:abstractNumId w:val="6"/>
  </w:num>
  <w:num w:numId="17" w16cid:durableId="1503739695">
    <w:abstractNumId w:val="28"/>
  </w:num>
  <w:num w:numId="18" w16cid:durableId="1730376859">
    <w:abstractNumId w:val="4"/>
  </w:num>
  <w:num w:numId="19" w16cid:durableId="1137140024">
    <w:abstractNumId w:val="35"/>
  </w:num>
  <w:num w:numId="20" w16cid:durableId="939485229">
    <w:abstractNumId w:val="2"/>
  </w:num>
  <w:num w:numId="21" w16cid:durableId="1245913734">
    <w:abstractNumId w:val="25"/>
  </w:num>
  <w:num w:numId="22" w16cid:durableId="2130396200">
    <w:abstractNumId w:val="10"/>
  </w:num>
  <w:num w:numId="23" w16cid:durableId="1556429949">
    <w:abstractNumId w:val="38"/>
  </w:num>
  <w:num w:numId="24" w16cid:durableId="495997107">
    <w:abstractNumId w:val="19"/>
  </w:num>
  <w:num w:numId="25" w16cid:durableId="1532953247">
    <w:abstractNumId w:val="27"/>
  </w:num>
  <w:num w:numId="26" w16cid:durableId="1147554898">
    <w:abstractNumId w:val="20"/>
  </w:num>
  <w:num w:numId="27" w16cid:durableId="2054765444">
    <w:abstractNumId w:val="3"/>
  </w:num>
  <w:num w:numId="28" w16cid:durableId="1861626585">
    <w:abstractNumId w:val="7"/>
  </w:num>
  <w:num w:numId="29" w16cid:durableId="999044868">
    <w:abstractNumId w:val="29"/>
  </w:num>
  <w:num w:numId="30" w16cid:durableId="355271689">
    <w:abstractNumId w:val="17"/>
  </w:num>
  <w:num w:numId="31" w16cid:durableId="1917861509">
    <w:abstractNumId w:val="31"/>
  </w:num>
  <w:num w:numId="32" w16cid:durableId="2108185547">
    <w:abstractNumId w:val="24"/>
  </w:num>
  <w:num w:numId="33" w16cid:durableId="1897817813">
    <w:abstractNumId w:val="13"/>
  </w:num>
  <w:num w:numId="34" w16cid:durableId="836269889">
    <w:abstractNumId w:val="0"/>
  </w:num>
  <w:num w:numId="35" w16cid:durableId="648168098">
    <w:abstractNumId w:val="9"/>
  </w:num>
  <w:num w:numId="36" w16cid:durableId="1857961061">
    <w:abstractNumId w:val="1"/>
  </w:num>
  <w:num w:numId="37" w16cid:durableId="1374309793">
    <w:abstractNumId w:val="21"/>
  </w:num>
  <w:num w:numId="38" w16cid:durableId="1629971037">
    <w:abstractNumId w:val="26"/>
  </w:num>
  <w:num w:numId="39" w16cid:durableId="1103919894">
    <w:abstractNumId w:val="34"/>
  </w:num>
  <w:num w:numId="40" w16cid:durableId="151738152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5256A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398F"/>
    <w:rsid w:val="0010766B"/>
    <w:rsid w:val="00140CFA"/>
    <w:rsid w:val="00141126"/>
    <w:rsid w:val="00173E19"/>
    <w:rsid w:val="00183A7B"/>
    <w:rsid w:val="00183B69"/>
    <w:rsid w:val="001935C4"/>
    <w:rsid w:val="001B6C66"/>
    <w:rsid w:val="001D74F3"/>
    <w:rsid w:val="001E12A1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766F"/>
    <w:rsid w:val="00327C1F"/>
    <w:rsid w:val="0035339B"/>
    <w:rsid w:val="003554F5"/>
    <w:rsid w:val="00357143"/>
    <w:rsid w:val="00367E2A"/>
    <w:rsid w:val="003911AE"/>
    <w:rsid w:val="00391EB7"/>
    <w:rsid w:val="00394E1F"/>
    <w:rsid w:val="003A3FFD"/>
    <w:rsid w:val="003B7AD6"/>
    <w:rsid w:val="003C3723"/>
    <w:rsid w:val="003D4C06"/>
    <w:rsid w:val="003D4D63"/>
    <w:rsid w:val="003D500C"/>
    <w:rsid w:val="003F03A3"/>
    <w:rsid w:val="003F07D5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73E"/>
    <w:rsid w:val="00586813"/>
    <w:rsid w:val="005954D7"/>
    <w:rsid w:val="005A46D2"/>
    <w:rsid w:val="005A67A4"/>
    <w:rsid w:val="005E536F"/>
    <w:rsid w:val="005E61B1"/>
    <w:rsid w:val="005E7410"/>
    <w:rsid w:val="005F6B45"/>
    <w:rsid w:val="00623C04"/>
    <w:rsid w:val="0063621E"/>
    <w:rsid w:val="00661D46"/>
    <w:rsid w:val="00676D33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70C90"/>
    <w:rsid w:val="00783B0B"/>
    <w:rsid w:val="007862C6"/>
    <w:rsid w:val="00796B8A"/>
    <w:rsid w:val="007A0820"/>
    <w:rsid w:val="007A4D50"/>
    <w:rsid w:val="007B1448"/>
    <w:rsid w:val="007C3B3C"/>
    <w:rsid w:val="007C5039"/>
    <w:rsid w:val="007D0EF5"/>
    <w:rsid w:val="007D2632"/>
    <w:rsid w:val="007F1C36"/>
    <w:rsid w:val="008021B6"/>
    <w:rsid w:val="00827945"/>
    <w:rsid w:val="0083249D"/>
    <w:rsid w:val="0085004A"/>
    <w:rsid w:val="00860B92"/>
    <w:rsid w:val="008664C9"/>
    <w:rsid w:val="008B4593"/>
    <w:rsid w:val="008B6501"/>
    <w:rsid w:val="008E0B90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A009DE"/>
    <w:rsid w:val="00A03393"/>
    <w:rsid w:val="00A06325"/>
    <w:rsid w:val="00A214A9"/>
    <w:rsid w:val="00A229F1"/>
    <w:rsid w:val="00A33395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9F9"/>
    <w:rsid w:val="00AE1AF1"/>
    <w:rsid w:val="00AE4233"/>
    <w:rsid w:val="00AE756D"/>
    <w:rsid w:val="00AF6091"/>
    <w:rsid w:val="00B0327A"/>
    <w:rsid w:val="00B15B66"/>
    <w:rsid w:val="00B20067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7FB5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A0D37"/>
    <w:rsid w:val="00DB2820"/>
    <w:rsid w:val="00DC3FD9"/>
    <w:rsid w:val="00DC4BDF"/>
    <w:rsid w:val="00DC545D"/>
    <w:rsid w:val="00DD09B8"/>
    <w:rsid w:val="00DD34E4"/>
    <w:rsid w:val="00DD628D"/>
    <w:rsid w:val="00DD6AB1"/>
    <w:rsid w:val="00DE2DD6"/>
    <w:rsid w:val="00DF359B"/>
    <w:rsid w:val="00E01835"/>
    <w:rsid w:val="00E12060"/>
    <w:rsid w:val="00E2417C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7ADD"/>
    <w:rsid w:val="00F62213"/>
    <w:rsid w:val="00F70078"/>
    <w:rsid w:val="00F8413D"/>
    <w:rsid w:val="00F9078E"/>
    <w:rsid w:val="00FB6ECC"/>
    <w:rsid w:val="00FB7009"/>
    <w:rsid w:val="00FC056A"/>
    <w:rsid w:val="00FD214A"/>
    <w:rsid w:val="00FD7064"/>
    <w:rsid w:val="00FE2446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ADBAD-B291-4CA9-BBF0-0640E762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3198</Words>
  <Characters>19190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22344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Janicka-Struska Agnieszka</cp:lastModifiedBy>
  <cp:revision>12</cp:revision>
  <dcterms:created xsi:type="dcterms:W3CDTF">2023-09-15T11:48:00Z</dcterms:created>
  <dcterms:modified xsi:type="dcterms:W3CDTF">2023-10-30T11:54:00Z</dcterms:modified>
</cp:coreProperties>
</file>